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03557C" w:rsidRPr="00C96002">
        <w:rPr>
          <w:rFonts w:asciiTheme="majorHAnsi" w:hAnsiTheme="majorHAnsi" w:cstheme="majorHAnsi"/>
          <w:sz w:val="22"/>
          <w:szCs w:val="22"/>
        </w:rPr>
        <w:t>“</w:t>
      </w:r>
      <w:r w:rsidR="0003557C" w:rsidRPr="0003557C">
        <w:rPr>
          <w:rFonts w:asciiTheme="minorHAnsi" w:hAnsiTheme="minorHAnsi" w:cstheme="minorHAnsi"/>
          <w:szCs w:val="28"/>
        </w:rPr>
        <w:t>APPROCCI SEMPLIFICATI PER L'IDENTIFICAZIONE DI STRATEGIE OTTIMALI DI ADEGUAMENTO SISMICO, ENERGETICO E DI IMPATTO AMBIENTALE DI STRUTTURE ESISTENTI”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03557C">
        <w:rPr>
          <w:rFonts w:asciiTheme="minorHAnsi" w:hAnsiTheme="minorHAnsi" w:cstheme="minorHAnsi"/>
        </w:rPr>
        <w:t>6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4C58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15</cp:revision>
  <dcterms:created xsi:type="dcterms:W3CDTF">2021-10-09T21:40:00Z</dcterms:created>
  <dcterms:modified xsi:type="dcterms:W3CDTF">2023-02-13T11:47:00Z</dcterms:modified>
</cp:coreProperties>
</file>